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D2" w:rsidRPr="00BC62D2" w:rsidRDefault="00BC62D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C62D2">
        <w:rPr>
          <w:rFonts w:ascii="Times New Roman" w:hAnsi="Times New Roman" w:cs="Times New Roman"/>
          <w:sz w:val="24"/>
          <w:szCs w:val="24"/>
        </w:rPr>
        <w:br/>
      </w:r>
    </w:p>
    <w:p w:rsidR="00BC62D2" w:rsidRPr="00BC62D2" w:rsidRDefault="00BC6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Зарегистрировано в Минюсте России 23 октября 2014 г. N 34431</w:t>
      </w:r>
    </w:p>
    <w:p w:rsidR="00BC62D2" w:rsidRPr="00BC62D2" w:rsidRDefault="00BC62D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ПРИКАЗ</w:t>
      </w: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от 26 августа 2014 г. N 1119</w:t>
      </w: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31.08.76 СТОМАТОЛОГИЯ</w:t>
      </w: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ДЕТСКАЯ (УРОВЕНЬ ПОДГОТОВКИ КАДРОВ ВЫСШЕЙ КВАЛИФИКАЦИИ)</w:t>
      </w: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2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31.08.76 Стоматология детская (уровень подготовки кадров высшей квалификации).</w:t>
      </w: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Министр</w:t>
      </w: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Д.В.ЛИВАНОВ</w:t>
      </w: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Приложение</w:t>
      </w: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Утвержден</w:t>
      </w: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от 26 августа 2014 г. N 1119</w:t>
      </w: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BC62D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BC62D2" w:rsidRPr="00BC62D2" w:rsidRDefault="00BC6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31.08.76 СТОМАТОЛОГИЯ ДЕТСКАЯ</w:t>
      </w: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BC62D2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31.08.76 Стоматология детская (далее соответственно - программа ординатуры, специальность).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>.;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2D2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>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BC62D2">
        <w:rPr>
          <w:rFonts w:ascii="Times New Roman" w:hAnsi="Times New Roman" w:cs="Times New Roman"/>
          <w:sz w:val="24"/>
          <w:szCs w:val="24"/>
        </w:rPr>
        <w:lastRenderedPageBreak/>
        <w:t>стоматологической помощи детям и подросткам в соответствии с установленными требованиями и стандартами в сфере здравоохранения.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физические лица в возрасте от 0 до 15 лет и в возрасте от 15 до 18 лет (далее - дети и подростки, пациенты);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физические лица - родители (законные представители) детей и подростков (далее - родители (законные представители));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население;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лечебная;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предупреждение возникновения стоматологических заболеваний среди детей и подростков путем проведения профилактических и противоэпидемических мероприятий;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участие в проведении профилактических медицинских осмотров, диспансеризации, диспансерного наблюдения;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стоматологической заболеваемости детей и подростков и ее влияния на состояние их здоровья;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диагностика стоматологических заболеваний и патологических состояний детей и подростков;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и участие в иных видах медицинской экспертизы;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оказание стоматологической помощи детям и подросткам;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участие в оказании медицинской помощи при чрезвычайных ситуациях, в том числе участие в медицинской эвакуации;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 пациентов со стоматологическими заболеваниями;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стоматологической помощи детям и подросткам в медицинских организациях и их структурных подразделениях;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медицинских организациях и ее структурных подразделениях;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участие в организации оценки качества оказания стоматологической помощи пациентам;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2D2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2D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10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готовность к определению тактики ведения, ведению и лечению пациентов, нуждающихся в стоматологической помощи (ПК-7);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семей мотивации, </w:t>
      </w:r>
      <w:r w:rsidRPr="00BC62D2">
        <w:rPr>
          <w:rFonts w:ascii="Times New Roman" w:hAnsi="Times New Roman" w:cs="Times New Roman"/>
          <w:sz w:val="24"/>
          <w:szCs w:val="24"/>
        </w:rPr>
        <w:lastRenderedPageBreak/>
        <w:t>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(ПК-11);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(ПК-13).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3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Блок 1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1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"Практики", относящийся как к базовой части программы, так и к ее вариативной части.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8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 - стоматолог детский".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BC62D2" w:rsidRPr="00BC62D2" w:rsidRDefault="00BC62D2">
      <w:pPr>
        <w:rPr>
          <w:rFonts w:ascii="Times New Roman" w:hAnsi="Times New Roman" w:cs="Times New Roman"/>
          <w:sz w:val="24"/>
          <w:szCs w:val="24"/>
        </w:rPr>
        <w:sectPr w:rsidR="00BC62D2" w:rsidRPr="00BC62D2" w:rsidSect="00BC62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Таблица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3"/>
        <w:gridCol w:w="5237"/>
        <w:gridCol w:w="2865"/>
      </w:tblGrid>
      <w:tr w:rsidR="00BC62D2" w:rsidRPr="00BC62D2">
        <w:tc>
          <w:tcPr>
            <w:tcW w:w="6720" w:type="dxa"/>
            <w:gridSpan w:val="2"/>
          </w:tcPr>
          <w:p w:rsidR="00BC62D2" w:rsidRPr="00BC62D2" w:rsidRDefault="00BC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865" w:type="dxa"/>
          </w:tcPr>
          <w:p w:rsidR="00BC62D2" w:rsidRPr="00BC62D2" w:rsidRDefault="00BC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. е.</w:t>
            </w:r>
          </w:p>
        </w:tc>
      </w:tr>
      <w:tr w:rsidR="00BC62D2" w:rsidRPr="00BC62D2">
        <w:tc>
          <w:tcPr>
            <w:tcW w:w="1483" w:type="dxa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3"/>
            <w:bookmarkEnd w:id="1"/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237" w:type="dxa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865" w:type="dxa"/>
          </w:tcPr>
          <w:p w:rsidR="00BC62D2" w:rsidRPr="00BC62D2" w:rsidRDefault="00BC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BC62D2" w:rsidRPr="00BC62D2">
        <w:tc>
          <w:tcPr>
            <w:tcW w:w="1483" w:type="dxa"/>
            <w:vMerge w:val="restart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7"/>
            <w:bookmarkEnd w:id="2"/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65" w:type="dxa"/>
          </w:tcPr>
          <w:p w:rsidR="00BC62D2" w:rsidRPr="00BC62D2" w:rsidRDefault="00BC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BC62D2" w:rsidRPr="00BC62D2">
        <w:tc>
          <w:tcPr>
            <w:tcW w:w="1483" w:type="dxa"/>
            <w:vMerge/>
          </w:tcPr>
          <w:p w:rsidR="00BC62D2" w:rsidRPr="00BC62D2" w:rsidRDefault="00BC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9"/>
            <w:bookmarkEnd w:id="3"/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65" w:type="dxa"/>
          </w:tcPr>
          <w:p w:rsidR="00BC62D2" w:rsidRPr="00BC62D2" w:rsidRDefault="00BC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BC62D2" w:rsidRPr="00BC62D2">
        <w:tc>
          <w:tcPr>
            <w:tcW w:w="1483" w:type="dxa"/>
            <w:vMerge w:val="restart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1"/>
            <w:bookmarkEnd w:id="4"/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237" w:type="dxa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865" w:type="dxa"/>
          </w:tcPr>
          <w:p w:rsidR="00BC62D2" w:rsidRPr="00BC62D2" w:rsidRDefault="00BC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BC62D2" w:rsidRPr="00BC62D2">
        <w:tc>
          <w:tcPr>
            <w:tcW w:w="1483" w:type="dxa"/>
            <w:vMerge/>
          </w:tcPr>
          <w:p w:rsidR="00BC62D2" w:rsidRPr="00BC62D2" w:rsidRDefault="00BC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65" w:type="dxa"/>
          </w:tcPr>
          <w:p w:rsidR="00BC62D2" w:rsidRPr="00BC62D2" w:rsidRDefault="00BC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BC62D2" w:rsidRPr="00BC62D2">
        <w:tc>
          <w:tcPr>
            <w:tcW w:w="1483" w:type="dxa"/>
            <w:vMerge/>
          </w:tcPr>
          <w:p w:rsidR="00BC62D2" w:rsidRPr="00BC62D2" w:rsidRDefault="00BC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65" w:type="dxa"/>
          </w:tcPr>
          <w:p w:rsidR="00BC62D2" w:rsidRPr="00BC62D2" w:rsidRDefault="00BC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BC62D2" w:rsidRPr="00BC62D2">
        <w:tc>
          <w:tcPr>
            <w:tcW w:w="1483" w:type="dxa"/>
            <w:vMerge w:val="restart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68"/>
            <w:bookmarkEnd w:id="5"/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237" w:type="dxa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65" w:type="dxa"/>
          </w:tcPr>
          <w:p w:rsidR="00BC62D2" w:rsidRPr="00BC62D2" w:rsidRDefault="00BC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D2" w:rsidRPr="00BC62D2">
        <w:tc>
          <w:tcPr>
            <w:tcW w:w="1483" w:type="dxa"/>
            <w:vMerge/>
          </w:tcPr>
          <w:p w:rsidR="00BC62D2" w:rsidRPr="00BC62D2" w:rsidRDefault="00BC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65" w:type="dxa"/>
          </w:tcPr>
          <w:p w:rsidR="00BC62D2" w:rsidRPr="00BC62D2" w:rsidRDefault="00BC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D2" w:rsidRPr="00BC62D2">
        <w:tc>
          <w:tcPr>
            <w:tcW w:w="6720" w:type="dxa"/>
            <w:gridSpan w:val="2"/>
          </w:tcPr>
          <w:p w:rsidR="00BC62D2" w:rsidRPr="00BC62D2" w:rsidRDefault="00BC6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865" w:type="dxa"/>
          </w:tcPr>
          <w:p w:rsidR="00BC62D2" w:rsidRPr="00BC62D2" w:rsidRDefault="00BC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BC62D2" w:rsidRPr="00BC62D2" w:rsidRDefault="00BC62D2">
      <w:pPr>
        <w:rPr>
          <w:rFonts w:ascii="Times New Roman" w:hAnsi="Times New Roman" w:cs="Times New Roman"/>
          <w:sz w:val="24"/>
          <w:szCs w:val="24"/>
        </w:rPr>
        <w:sectPr w:rsidR="00BC62D2" w:rsidRPr="00BC62D2" w:rsidSect="00BC62D2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</w:t>
      </w:r>
      <w:hyperlink w:anchor="P157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>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2D2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6.6. В </w:t>
      </w:r>
      <w:hyperlink w:anchor="P161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"Практики" входит производственная (клиническая) практика.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выездная.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168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подготовка к сдаче и сдача государственного экзамена.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59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6.9. Количество часов, отведенных на занятия лекционного типа в целом по </w:t>
      </w:r>
      <w:hyperlink w:anchor="P153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>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BC62D2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2D2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2D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 </w:t>
      </w:r>
      <w:r w:rsidRPr="00BC62D2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 (модель черепа человека,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карпульный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инъектор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 для обучения методикам проведения анестезии в челюстно-лицевой области с расходными материалами (искусственные зубы,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слюноотсосы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>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2D2">
        <w:rPr>
          <w:rFonts w:ascii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 стоматолога (МРУ);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2D2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; автоклав (стерилизатор паровой), при отсутствии центральной стерилизационной; автоклав для наконечников (стерилизатор паровой настольный); аппарат для дезинфекции оттисков, стоматологических изделий и инструментов;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аквадистиллятор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 (медицинский), при отсутствии центральной стерилизационной;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фотополимеризатор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 для композита (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внутриротовой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); камеры для хранения стерильных инструментов; машина упаковочная (аппарат для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sz w:val="24"/>
          <w:szCs w:val="24"/>
        </w:rPr>
        <w:lastRenderedPageBreak/>
        <w:t>упаковки инструментария) при отсутствии центральной стерилизации; очиститель ультразвуковой (устройство ультразвуковой очистки и дезинфекции инструментов и изделий);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 xml:space="preserve">прибор и средства для очистки и смазки; стерилизатор стоматологический для мелкого инструментария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гласперленовый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; лампа (облучатель) бактерицидная для помещений;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радиовизиограф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 xml:space="preserve"> или рентген дентальный; 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ортопантомограф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>; аппарат для диагностики жизнеспособности пульпы (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электроодонтометр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>); аппарат для определения глубины корневого канала (</w:t>
      </w:r>
      <w:proofErr w:type="spellStart"/>
      <w:r w:rsidRPr="00BC62D2">
        <w:rPr>
          <w:rFonts w:ascii="Times New Roman" w:hAnsi="Times New Roman" w:cs="Times New Roman"/>
          <w:sz w:val="24"/>
          <w:szCs w:val="24"/>
        </w:rPr>
        <w:t>апекслокатор</w:t>
      </w:r>
      <w:proofErr w:type="spellEnd"/>
      <w:r w:rsidRPr="00BC62D2">
        <w:rPr>
          <w:rFonts w:ascii="Times New Roman" w:hAnsi="Times New Roman" w:cs="Times New Roman"/>
          <w:sz w:val="24"/>
          <w:szCs w:val="24"/>
        </w:rPr>
        <w:t>)),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BC62D2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BC62D2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BC62D2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BC62D2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2" w:rsidRPr="00BC62D2" w:rsidRDefault="00BC62D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02510B" w:rsidRPr="00BC62D2" w:rsidRDefault="0002510B">
      <w:pPr>
        <w:rPr>
          <w:rFonts w:ascii="Times New Roman" w:hAnsi="Times New Roman" w:cs="Times New Roman"/>
          <w:sz w:val="24"/>
          <w:szCs w:val="24"/>
        </w:rPr>
      </w:pPr>
    </w:p>
    <w:sectPr w:rsidR="0002510B" w:rsidRPr="00BC62D2" w:rsidSect="00BC62D2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2D2"/>
    <w:rsid w:val="0002510B"/>
    <w:rsid w:val="00BC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485A8717C07C4C92CB944F86F789B800D75F4C118F850AD53E82B00CC42DCE61A818254D4C0CJFz9I" TargetMode="External"/><Relationship Id="rId13" Type="http://schemas.openxmlformats.org/officeDocument/2006/relationships/hyperlink" Target="consultantplus://offline/ref=D99D485A8717C07C4C92CB944F86F789B800D2574E168F850AD53E82B0J0z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D485A8717C07C4C92CA905C86F789BC02D6584D19D28F028C3280B7039B3AC928A419254C4CJ0zCI" TargetMode="External"/><Relationship Id="rId12" Type="http://schemas.openxmlformats.org/officeDocument/2006/relationships/hyperlink" Target="consultantplus://offline/ref=D99D485A8717C07C4C92CB944F86F789B800D4574F138F850AD53E82B0J0zCI" TargetMode="External"/><Relationship Id="rId17" Type="http://schemas.openxmlformats.org/officeDocument/2006/relationships/hyperlink" Target="consultantplus://offline/ref=D99D485A8717C07C4C92CB944F86F789B803D35F48128F850AD53E82B00CC42DCE61A818254C4C04JFz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9D485A8717C07C4C92CA905C86F789BD00D6584819D28F028C3280JBz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D485A8717C07C4C92CB944F86F789B800D95848158F850AD53E82B00CC42DCE61A818254C4C01JFz2I" TargetMode="External"/><Relationship Id="rId11" Type="http://schemas.openxmlformats.org/officeDocument/2006/relationships/hyperlink" Target="consultantplus://offline/ref=D99D485A8717C07C4C92CA905C86F789BC02D15A4B19D28F028C3280JBz7I" TargetMode="External"/><Relationship Id="rId5" Type="http://schemas.openxmlformats.org/officeDocument/2006/relationships/hyperlink" Target="consultantplus://offline/ref=D99D485A8717C07C4C92CB944F86F789B800D45C4C1B8F850AD53E82B00CC42DCE61A818254C4C03JFz2I" TargetMode="External"/><Relationship Id="rId15" Type="http://schemas.openxmlformats.org/officeDocument/2006/relationships/hyperlink" Target="consultantplus://offline/ref=D99D485A8717C07C4C92CB944F86F789B807D35A49148F850AD53E82B00CC42DCE61A818254C4C04JFz0I" TargetMode="External"/><Relationship Id="rId10" Type="http://schemas.openxmlformats.org/officeDocument/2006/relationships/hyperlink" Target="consultantplus://offline/ref=D99D485A8717C07C4C92CA905C86F789B80FD85F4344D8875B8030J8z7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9D485A8717C07C4C92CB944F86F789B800D75F4C118F850AD53E82B00CC42DCE61A818254D4D05JFz0I" TargetMode="External"/><Relationship Id="rId14" Type="http://schemas.openxmlformats.org/officeDocument/2006/relationships/hyperlink" Target="consultantplus://offline/ref=D99D485A8717C07C4C92CA905C86F789BD00D6584819D28F028C3280B7039B3AC928A419254C4DJ0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4639</Words>
  <Characters>26447</Characters>
  <Application>Microsoft Office Word</Application>
  <DocSecurity>0</DocSecurity>
  <Lines>220</Lines>
  <Paragraphs>62</Paragraphs>
  <ScaleCrop>false</ScaleCrop>
  <Company/>
  <LinksUpToDate>false</LinksUpToDate>
  <CharactersWithSpaces>31024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2015-10-14T08:51:00Z</dcterms:created>
  <dcterms:modified xsi:type="dcterms:W3CDTF">2015-10-14T08:51:00Z</dcterms:modified>
</cp:coreProperties>
</file>