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49" w:rsidRPr="003D6E49" w:rsidRDefault="003D6E49" w:rsidP="003D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49">
        <w:rPr>
          <w:rFonts w:ascii="Times New Roman" w:hAnsi="Times New Roman" w:cs="Times New Roman"/>
          <w:b/>
          <w:sz w:val="28"/>
          <w:szCs w:val="28"/>
        </w:rPr>
        <w:t>ВСТРЕЧАЕМ 100-ЛЕТИЕ УНИВЕРСИТЕТА В ПРЕМЬЕР-ЛИГЕ</w:t>
      </w:r>
    </w:p>
    <w:p w:rsidR="0005336C" w:rsidRDefault="00B45162" w:rsidP="00B45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показателей мониторинга эффективности деятельности вузов</w:t>
      </w:r>
      <w:r w:rsidR="00853E43">
        <w:rPr>
          <w:rFonts w:ascii="Times New Roman" w:hAnsi="Times New Roman" w:cs="Times New Roman"/>
          <w:sz w:val="28"/>
          <w:szCs w:val="28"/>
        </w:rPr>
        <w:t xml:space="preserve"> 2022 года (по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853E4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проведенного Министерством науки и высшего образования Российской Федерации, МГМСУ </w:t>
      </w:r>
      <w:r w:rsidRPr="007045E4">
        <w:rPr>
          <w:rFonts w:ascii="Times New Roman" w:hAnsi="Times New Roman" w:cs="Times New Roman"/>
          <w:b/>
          <w:sz w:val="28"/>
          <w:szCs w:val="28"/>
        </w:rPr>
        <w:t>вошел в Премьер-</w:t>
      </w:r>
      <w:r w:rsidR="00FA5A28" w:rsidRPr="007045E4">
        <w:rPr>
          <w:rFonts w:ascii="Times New Roman" w:hAnsi="Times New Roman" w:cs="Times New Roman"/>
          <w:b/>
          <w:sz w:val="28"/>
          <w:szCs w:val="28"/>
        </w:rPr>
        <w:t>л</w:t>
      </w:r>
      <w:r w:rsidRPr="007045E4">
        <w:rPr>
          <w:rFonts w:ascii="Times New Roman" w:hAnsi="Times New Roman" w:cs="Times New Roman"/>
          <w:b/>
          <w:sz w:val="28"/>
          <w:szCs w:val="28"/>
        </w:rPr>
        <w:t>игу, заняв второе место среди 1208 организаций</w:t>
      </w:r>
      <w:r w:rsidRPr="00B45162"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Среди медицинских и фармацевтических вузов МГМСУ </w:t>
      </w:r>
      <w:r w:rsidRPr="007045E4">
        <w:rPr>
          <w:rFonts w:ascii="Times New Roman" w:hAnsi="Times New Roman" w:cs="Times New Roman"/>
          <w:b/>
          <w:sz w:val="28"/>
          <w:szCs w:val="28"/>
        </w:rPr>
        <w:t>занял 1-е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7F" w:rsidRPr="00A8477F" w:rsidRDefault="00A8477F" w:rsidP="00A84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эффективности деятельности приняли участие </w:t>
      </w:r>
      <w:r w:rsidRPr="00B45162">
        <w:rPr>
          <w:rFonts w:ascii="Times New Roman" w:hAnsi="Times New Roman" w:cs="Times New Roman"/>
          <w:sz w:val="28"/>
          <w:szCs w:val="28"/>
        </w:rPr>
        <w:t>1208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77F">
        <w:rPr>
          <w:rFonts w:ascii="Tahoma" w:hAnsi="Tahoma" w:cs="Tahoma"/>
          <w:color w:val="445555"/>
          <w:sz w:val="18"/>
          <w:szCs w:val="18"/>
        </w:rPr>
        <w:t xml:space="preserve"> </w:t>
      </w:r>
      <w:r w:rsidRPr="00A8477F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10 федеральных университетов;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29 национальных исследовательских университетов;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21 участник проекта 5-100;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510 филиалов;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896 государственных вузов;</w:t>
      </w:r>
    </w:p>
    <w:p w:rsidR="00A8477F" w:rsidRPr="00FA5A28" w:rsidRDefault="00A8477F" w:rsidP="00FA5A28">
      <w:pPr>
        <w:pStyle w:val="a5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312 – частных.</w:t>
      </w:r>
    </w:p>
    <w:p w:rsidR="00A8477F" w:rsidRDefault="00A8477F" w:rsidP="00B45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оценивались показатели по образовательной, научно-исследовательской, международной, финансово-экономической деятельности, заработная плата профессорско-преподавательского состава и другие показатели</w:t>
      </w:r>
      <w:r w:rsidR="00853E43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A28" w:rsidRDefault="00A8477F" w:rsidP="00A8477F">
      <w:pPr>
        <w:spacing w:after="0" w:line="15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первую очередь учитывались</w:t>
      </w:r>
      <w:r w:rsidR="00FA5A28">
        <w:rPr>
          <w:rFonts w:ascii="Times New Roman" w:hAnsi="Times New Roman" w:cs="Times New Roman"/>
          <w:sz w:val="28"/>
          <w:szCs w:val="28"/>
        </w:rPr>
        <w:t>:</w:t>
      </w:r>
    </w:p>
    <w:p w:rsidR="00A8477F" w:rsidRPr="00FA5A28" w:rsidRDefault="00A8477F" w:rsidP="00FA5A28">
      <w:pPr>
        <w:pStyle w:val="a5"/>
        <w:numPr>
          <w:ilvl w:val="0"/>
          <w:numId w:val="3"/>
        </w:numPr>
        <w:spacing w:after="0" w:line="15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 xml:space="preserve">средний балл ЕГЭ студентов, принятых по результатам ЕГЭ на обучение по очной форме по программам </w:t>
      </w:r>
      <w:proofErr w:type="spellStart"/>
      <w:r w:rsidRPr="00FA5A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A5A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5A2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A5A28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</w:t>
      </w:r>
      <w:r w:rsidR="00FA5A28">
        <w:rPr>
          <w:rFonts w:ascii="Times New Roman" w:hAnsi="Times New Roman" w:cs="Times New Roman"/>
          <w:sz w:val="28"/>
          <w:szCs w:val="28"/>
        </w:rPr>
        <w:t>;</w:t>
      </w:r>
    </w:p>
    <w:p w:rsidR="00A8477F" w:rsidRPr="00A8477F" w:rsidRDefault="00FA5A28" w:rsidP="00FA5A28">
      <w:pPr>
        <w:pStyle w:val="a5"/>
        <w:numPr>
          <w:ilvl w:val="0"/>
          <w:numId w:val="3"/>
        </w:numPr>
        <w:spacing w:after="0" w:line="15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77F" w:rsidRPr="00A8477F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 и опытно-конструкторских работ (</w:t>
      </w:r>
      <w:r w:rsidR="00A8477F" w:rsidRPr="00A8477F">
        <w:rPr>
          <w:rFonts w:ascii="Times New Roman" w:hAnsi="Times New Roman" w:cs="Times New Roman"/>
          <w:sz w:val="28"/>
          <w:szCs w:val="28"/>
        </w:rPr>
        <w:t>НИОКР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77F" w:rsidRPr="00A8477F">
        <w:rPr>
          <w:rFonts w:ascii="Times New Roman" w:hAnsi="Times New Roman" w:cs="Times New Roman"/>
          <w:sz w:val="28"/>
          <w:szCs w:val="28"/>
        </w:rPr>
        <w:t xml:space="preserve"> в расчете на одного научно-педагогического работника, за исключением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A8477F" w:rsidRPr="00A8477F">
        <w:rPr>
          <w:rFonts w:ascii="Times New Roman" w:hAnsi="Times New Roman" w:cs="Times New Roman"/>
          <w:sz w:val="28"/>
          <w:szCs w:val="28"/>
        </w:rPr>
        <w:t xml:space="preserve"> из числа работников предприятий и организаций (кроме образовательных), привлеченных к образовательной деятельности по реализации образовательных программ </w:t>
      </w:r>
      <w:proofErr w:type="spellStart"/>
      <w:r w:rsidR="00A8477F" w:rsidRPr="00A8477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477F" w:rsidRPr="00A84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7F" w:rsidRPr="00A8477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477F" w:rsidRPr="00A8477F">
        <w:rPr>
          <w:rFonts w:ascii="Times New Roman" w:hAnsi="Times New Roman" w:cs="Times New Roman"/>
          <w:sz w:val="28"/>
          <w:szCs w:val="28"/>
        </w:rPr>
        <w:t>, магистратуры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77F" w:rsidRPr="00FA5A28" w:rsidRDefault="00FA5A28" w:rsidP="00FA5A28">
      <w:pPr>
        <w:pStyle w:val="a5"/>
        <w:numPr>
          <w:ilvl w:val="0"/>
          <w:numId w:val="3"/>
        </w:numPr>
        <w:spacing w:after="0" w:line="15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477F" w:rsidRPr="00FA5A28">
        <w:rPr>
          <w:rFonts w:ascii="Times New Roman" w:hAnsi="Times New Roman" w:cs="Times New Roman"/>
          <w:sz w:val="28"/>
          <w:szCs w:val="28"/>
        </w:rPr>
        <w:t xml:space="preserve">дельный вес численности иностранных студентов, обучающихся по программам </w:t>
      </w:r>
      <w:proofErr w:type="spellStart"/>
      <w:r w:rsidR="00A8477F" w:rsidRPr="00FA5A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477F" w:rsidRPr="00FA5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7F" w:rsidRPr="00FA5A2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477F" w:rsidRPr="00FA5A28">
        <w:rPr>
          <w:rFonts w:ascii="Times New Roman" w:hAnsi="Times New Roman" w:cs="Times New Roman"/>
          <w:sz w:val="28"/>
          <w:szCs w:val="28"/>
        </w:rPr>
        <w:t>, магистратуры, в общей численности студентов (приведенный контингент)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77F" w:rsidRPr="00FA5A28" w:rsidRDefault="00FA5A28" w:rsidP="00FA5A28">
      <w:pPr>
        <w:pStyle w:val="a5"/>
        <w:numPr>
          <w:ilvl w:val="0"/>
          <w:numId w:val="3"/>
        </w:numPr>
        <w:spacing w:after="0" w:line="15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8477F" w:rsidRPr="00FA5A28">
        <w:rPr>
          <w:rFonts w:ascii="Times New Roman" w:hAnsi="Times New Roman" w:cs="Times New Roman"/>
          <w:sz w:val="28"/>
          <w:szCs w:val="28"/>
        </w:rPr>
        <w:t xml:space="preserve">оходы образовательной организации из всех источников в расчете на одного </w:t>
      </w:r>
      <w:r>
        <w:rPr>
          <w:rFonts w:ascii="Times New Roman" w:hAnsi="Times New Roman" w:cs="Times New Roman"/>
          <w:sz w:val="28"/>
          <w:szCs w:val="28"/>
        </w:rPr>
        <w:t>научно-педагогического работника;</w:t>
      </w:r>
    </w:p>
    <w:p w:rsidR="00A8477F" w:rsidRPr="00FA5A28" w:rsidRDefault="00FA5A28" w:rsidP="00FA5A28">
      <w:pPr>
        <w:pStyle w:val="a5"/>
        <w:numPr>
          <w:ilvl w:val="0"/>
          <w:numId w:val="3"/>
        </w:numPr>
        <w:spacing w:after="0" w:line="150" w:lineRule="atLeast"/>
        <w:ind w:left="0"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77F" w:rsidRPr="00FA5A28">
        <w:rPr>
          <w:rFonts w:ascii="Times New Roman" w:hAnsi="Times New Roman" w:cs="Times New Roman"/>
          <w:sz w:val="28"/>
          <w:szCs w:val="28"/>
        </w:rPr>
        <w:t>тношение заработной платы профессорско-преподавательского состава к средней заработной плате по экономике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77F" w:rsidRDefault="00FA5A28" w:rsidP="00FA5A28">
      <w:pPr>
        <w:pStyle w:val="a5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477F" w:rsidRPr="00FA5A28">
        <w:rPr>
          <w:rFonts w:ascii="Times New Roman" w:hAnsi="Times New Roman" w:cs="Times New Roman"/>
          <w:sz w:val="28"/>
          <w:szCs w:val="28"/>
        </w:rPr>
        <w:t xml:space="preserve">оля работников (приведенных к числу ставок) из числа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477F" w:rsidRPr="00FA5A28">
        <w:rPr>
          <w:rFonts w:ascii="Times New Roman" w:hAnsi="Times New Roman" w:cs="Times New Roman"/>
          <w:sz w:val="28"/>
          <w:szCs w:val="28"/>
        </w:rPr>
        <w:t xml:space="preserve"> в численности работников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477F" w:rsidRPr="00FA5A28">
        <w:rPr>
          <w:rFonts w:ascii="Times New Roman" w:hAnsi="Times New Roman" w:cs="Times New Roman"/>
          <w:sz w:val="28"/>
          <w:szCs w:val="28"/>
        </w:rPr>
        <w:t xml:space="preserve"> без работающих по договорам гражданско-правового характера, имеющих ученую степень кандидата или доктора наук по медицинской области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37" w:rsidRPr="004E5837" w:rsidRDefault="004E5837" w:rsidP="004E5837">
      <w:pPr>
        <w:pStyle w:val="a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4E5837">
        <w:rPr>
          <w:sz w:val="28"/>
          <w:szCs w:val="28"/>
        </w:rPr>
        <w:t>ЦЕЛЬ МОНИТОРИНГА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информационно-аналитических материалов на основе информации об образовательных организациях высшего образования и их филиалах на основе показателей деятельности.</w:t>
      </w:r>
    </w:p>
    <w:p w:rsidR="004E5837" w:rsidRPr="00B45162" w:rsidRDefault="004E5837" w:rsidP="004E5837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МОНИТОРИНГА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организации высшего образования Российской Федерации.</w:t>
      </w:r>
    </w:p>
    <w:p w:rsidR="004E5837" w:rsidRPr="00B45162" w:rsidRDefault="004E5837" w:rsidP="004E5837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МОНИТОРИНГА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публичность мероприятий и данных при проведении мониторинга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и сравнимость показателей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специфики деятельности образовательных организаций при формировании показателей мониторинга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документального подтверждения качества данных, предоставляемых образовательными организациями</w:t>
      </w:r>
    </w:p>
    <w:p w:rsidR="004E5837" w:rsidRPr="00B45162" w:rsidRDefault="004E5837" w:rsidP="004E5837">
      <w:p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данных об образовательных данных их внешних по отношению к ним источников</w:t>
      </w:r>
    </w:p>
    <w:p w:rsidR="004E5837" w:rsidRPr="00B45162" w:rsidRDefault="004E5837" w:rsidP="004E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ЭТАПЫ ПРОВЕДЕНИЯ МОНИТОРИНГА</w:t>
      </w:r>
    </w:p>
    <w:p w:rsidR="004E5837" w:rsidRPr="004E5837" w:rsidRDefault="004E5837" w:rsidP="004E5837">
      <w:pPr>
        <w:pStyle w:val="a5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ключевых направлений деятельности образовательных организаций</w:t>
      </w:r>
    </w:p>
    <w:p w:rsidR="004E5837" w:rsidRPr="004E5837" w:rsidRDefault="004E5837" w:rsidP="004E5837">
      <w:pPr>
        <w:pStyle w:val="a5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показателей их оценки</w:t>
      </w:r>
    </w:p>
    <w:p w:rsidR="004E5837" w:rsidRPr="004E5837" w:rsidRDefault="004E5837" w:rsidP="004E5837">
      <w:pPr>
        <w:pStyle w:val="a5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верификация первичных данных статистики</w:t>
      </w:r>
    </w:p>
    <w:p w:rsidR="004E5837" w:rsidRPr="004E5837" w:rsidRDefault="004E5837" w:rsidP="004E5837">
      <w:pPr>
        <w:pStyle w:val="a5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данных и подготовка предложений</w:t>
      </w: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расчет показателей эффективности деятельности образовательных организаций и их филиалов</w:t>
      </w: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определение пороговых значений на основе медианных значений показателей в рамках </w:t>
      </w:r>
      <w:proofErr w:type="spellStart"/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(федеральных округов РФ, групп регионов, групп организаций, обладающих спецификой отраслевой направленности деятельности</w:t>
      </w:r>
    </w:p>
    <w:p w:rsidR="004E5837" w:rsidRPr="004E5837" w:rsidRDefault="004E5837" w:rsidP="004E5837">
      <w:pPr>
        <w:pStyle w:val="a5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результатов мониторинга</w:t>
      </w:r>
    </w:p>
    <w:p w:rsidR="004E5837" w:rsidRPr="004E5837" w:rsidRDefault="004E5837" w:rsidP="004E5837">
      <w:pPr>
        <w:rPr>
          <w:rFonts w:ascii="Times New Roman" w:hAnsi="Times New Roman" w:cs="Times New Roman"/>
          <w:sz w:val="28"/>
          <w:szCs w:val="28"/>
        </w:rPr>
      </w:pPr>
    </w:p>
    <w:p w:rsidR="00FA5A28" w:rsidRPr="007045E4" w:rsidRDefault="00FA5A28" w:rsidP="00FA5A2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E4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A5A28" w:rsidRDefault="00FA5A28" w:rsidP="00FA5A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b/>
          <w:sz w:val="28"/>
          <w:szCs w:val="28"/>
        </w:rPr>
        <w:t>https://monitoring.miccedu.ru</w:t>
      </w:r>
      <w:r w:rsidRPr="00FA5A28">
        <w:rPr>
          <w:rFonts w:ascii="Times New Roman" w:hAnsi="Times New Roman" w:cs="Times New Roman"/>
          <w:sz w:val="28"/>
          <w:szCs w:val="28"/>
        </w:rPr>
        <w:t>/?m=vpo&amp;year=2022</w:t>
      </w:r>
    </w:p>
    <w:p w:rsidR="00FA5A28" w:rsidRPr="00FA5A28" w:rsidRDefault="00FA5A28" w:rsidP="00FA5A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b/>
          <w:sz w:val="28"/>
          <w:szCs w:val="28"/>
        </w:rPr>
        <w:t>https://msd-nica.ru</w:t>
      </w:r>
      <w:r w:rsidRPr="00FA5A28">
        <w:rPr>
          <w:rFonts w:ascii="Times New Roman" w:hAnsi="Times New Roman" w:cs="Times New Roman"/>
          <w:sz w:val="28"/>
          <w:szCs w:val="28"/>
        </w:rPr>
        <w:t>/rankings/reyting-monitoringa-effektivnosti-vuzov?region=77&amp;utm_source=group_email&amp;utm_medium=email&amp;utm_campaign=ranking</w:t>
      </w:r>
    </w:p>
    <w:p w:rsidR="001A7F22" w:rsidRDefault="00B45162" w:rsidP="001A7F22">
      <w:r>
        <w:rPr>
          <w:rFonts w:ascii="Times New Roman" w:hAnsi="Times New Roman" w:cs="Times New Roman"/>
          <w:sz w:val="28"/>
          <w:szCs w:val="28"/>
        </w:rPr>
        <w:br w:type="page"/>
      </w:r>
      <w:r w:rsidR="001A7F22">
        <w:rPr>
          <w:rStyle w:val="subsection"/>
          <w:rFonts w:ascii="Arial" w:hAnsi="Arial" w:cs="Arial"/>
          <w:color w:val="444444"/>
          <w:sz w:val="41"/>
          <w:szCs w:val="41"/>
          <w:shd w:val="clear" w:color="auto" w:fill="FFFFFF"/>
        </w:rPr>
        <w:lastRenderedPageBreak/>
        <w:t>Образовательная деятельность</w:t>
      </w:r>
    </w:p>
    <w:p w:rsidR="001A7F22" w:rsidRDefault="001A7F22" w:rsidP="001A7F2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555555"/>
          <w:sz w:val="17"/>
          <w:szCs w:val="17"/>
        </w:rPr>
      </w:pP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0112"/>
        <w:gridCol w:w="1984"/>
        <w:gridCol w:w="2410"/>
      </w:tblGrid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Значение показателя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Средний балл ЕГЭ студентов, принятых по результатам ЕГЭ на обучение по очной форме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 счет средств соответствующих бюджетов бюджетной системы РФ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балл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89,46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Средний балл ЕГЭ студентов университета, принятых по результатам ЕГЭ на обучение по очной форме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балл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87,92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Средний балл ЕГЭ студентов, принятых по результатам ЕГЭ на обучение по очной форме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 оплатой стоимости затрат на обучение физическими и юридическими лицами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балл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69,78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Усредненный по реализуемым направлениям (специальностям) минимальный балл ЕГЭ студентов, принятых по результатам ЕГЭ на обучение по очной форме на программы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балл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61,65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Численность студентов,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без вступительных испытаний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Численность студентов,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по специальностям и (или)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Численность студентов, принятых по результатам целевого приема на первый курс на очную форму обучения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364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студентов, принятых по результатам целевого приема на первый курс на очную форму обучения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 общей численности студентов, принятых на первый курс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на очную форму обучения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22,24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студентов (приведенного контингента), обучающихся по программам магистратуры, в общей численности приведенного контингента обучающихся по образовательным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магистратуры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0,16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1.10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обучающихся (приведенного контингента), по программам магистратуры, подготовки научно-педагогических кадров в аспирантуре (адъюнктуре), ординатуры,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ассистентуры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-стажировки в общей численности приведенного контингента обучающихся по основным образовательным программам высшего образования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15,44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1.11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студентов, имеющих диплом бакалавра, специалиста или магистра других организаций, принятых на первый курс на обучение по программам магистратуры образовательной организации, в общей численности студентов, принятых на первый курс по программам магистратуры на очную форму обучения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1.12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обучающихся по программам магистратуры, подготовки научно-педагогических кадров в аспирантуре (адъюнктуре), ординатуры,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ассистентуры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-стажировки, имеющих диплом бакалавра, диплом специалиста или диплом магистра других организаций в общей численности обучающихся по программам магистратуры, подготовки научно-педагогических кадров в аспирантуре (адъюнктуре), ординатуры,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ассистентуры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-стажировки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46,02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1.13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Численность аспирантов (адъюнктов), ординаторов, ассистентов-стажеров образовательной организации в расчете на 100 студентов (приведенного контингента)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слушателей из сторонних организаций в общей численности слушателей, прошедших обучение в образовательной организации по программам повышения квалификации или профессиональной переподготовки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95,72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1.15</w:t>
            </w:r>
          </w:p>
        </w:tc>
        <w:tc>
          <w:tcPr>
            <w:tcW w:w="10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студентов, обучающихся по направлениям подготовки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и магистратуры по областям знаний «Инженерное дело, технологии и технические науки», «Здравоохранение и медицинские науки», «Образование и педагогические науки»,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22,11</w:t>
            </w:r>
          </w:p>
        </w:tc>
      </w:tr>
    </w:tbl>
    <w:p w:rsidR="001A7F22" w:rsidRDefault="001A7F22" w:rsidP="001A7F22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subsection"/>
          <w:rFonts w:ascii="Arial" w:hAnsi="Arial" w:cs="Arial"/>
          <w:color w:val="444444"/>
          <w:sz w:val="41"/>
          <w:szCs w:val="41"/>
          <w:shd w:val="clear" w:color="auto" w:fill="FFFFFF"/>
        </w:rPr>
        <w:lastRenderedPageBreak/>
        <w:t>Научно-исследовательская деятельность</w:t>
      </w:r>
    </w:p>
    <w:p w:rsidR="001A7F22" w:rsidRDefault="001A7F22" w:rsidP="001A7F2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555555"/>
          <w:sz w:val="17"/>
          <w:szCs w:val="17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479"/>
        <w:gridCol w:w="1622"/>
        <w:gridCol w:w="1355"/>
      </w:tblGrid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Значение показателя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Количество цитирований публикаций, изданных за последние 5 лет, индексируемых в информационно-аналитической системе научного цитирования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Web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Science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Core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Collection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*)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Количество цитирований публикаций, изданных за последние 5 лет, индексируемых в информационно-аналитической системе научного цитирования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Scopus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*)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Количество цитирований публикаций, изданных за последние 5 лет, индексируемых в Российском индексе научного цитирования (далее – РИНЦ)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443,04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Web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Science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Core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Collection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*)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Scopus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*)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Число публикаций организации, индексируемых в информационно-аналитической системе научного цитирования РИНЦ,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159,94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Общий объем научно-исследовательских и опытно-конструкторских работ (далее – НИОКР)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1 987 220,60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19,61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2.10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1 060,23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2.11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Количество лицензионных соглашений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2.12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средств, полученных образовательной организацией от использования результатов интеллектуальной деятельности,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2.13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НПР без ученой степени – до 30 лет, кандидатов наук – до 35 лет, докторов наук – до 40 лет, в общей численности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13,60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2.14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научно-педагогических работников, защитивших кандидатские и докторские диссертации за отчетный период в общей численности НПР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2,51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2.15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2.16</w:t>
            </w:r>
          </w:p>
        </w:tc>
        <w:tc>
          <w:tcPr>
            <w:tcW w:w="10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Количество полученных грантов за отчетный год в расчете на 100 НПР[н]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0,48</w:t>
            </w:r>
          </w:p>
        </w:tc>
      </w:tr>
    </w:tbl>
    <w:p w:rsidR="001A7F22" w:rsidRDefault="001A7F22">
      <w:pPr>
        <w:rPr>
          <w:rFonts w:ascii="Arial" w:hAnsi="Arial" w:cs="Arial"/>
          <w:i/>
          <w:iCs/>
          <w:color w:val="676767"/>
          <w:sz w:val="15"/>
          <w:szCs w:val="15"/>
          <w:shd w:val="clear" w:color="auto" w:fill="FFFFFF"/>
        </w:rPr>
      </w:pPr>
      <w:r>
        <w:rPr>
          <w:rFonts w:ascii="Arial" w:hAnsi="Arial" w:cs="Arial"/>
          <w:i/>
          <w:iCs/>
          <w:color w:val="676767"/>
          <w:shd w:val="clear" w:color="auto" w:fill="FFFFFF"/>
          <w:vertAlign w:val="superscript"/>
        </w:rPr>
        <w:t>*)</w:t>
      </w:r>
      <w:r>
        <w:rPr>
          <w:rFonts w:ascii="Arial" w:hAnsi="Arial" w:cs="Arial"/>
          <w:i/>
          <w:iCs/>
          <w:color w:val="676767"/>
          <w:sz w:val="15"/>
          <w:szCs w:val="15"/>
          <w:shd w:val="clear" w:color="auto" w:fill="FFFFFF"/>
        </w:rPr>
        <w:t> Значение показателя не публикуется в результатах мониторинга.</w:t>
      </w:r>
    </w:p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F22" w:rsidRDefault="001A7F22" w:rsidP="001A7F22">
      <w:r>
        <w:rPr>
          <w:rStyle w:val="subsection"/>
          <w:rFonts w:ascii="Arial" w:hAnsi="Arial" w:cs="Arial"/>
          <w:color w:val="444444"/>
          <w:sz w:val="41"/>
          <w:szCs w:val="41"/>
          <w:shd w:val="clear" w:color="auto" w:fill="FFFFFF"/>
        </w:rPr>
        <w:lastRenderedPageBreak/>
        <w:t>Международная деятельность</w:t>
      </w:r>
    </w:p>
    <w:p w:rsidR="001A7F22" w:rsidRDefault="001A7F22" w:rsidP="001A7F2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3</w:t>
      </w:r>
    </w:p>
    <w:tbl>
      <w:tblPr>
        <w:tblW w:w="14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1666"/>
        <w:gridCol w:w="1417"/>
        <w:gridCol w:w="1082"/>
      </w:tblGrid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Значение показателя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иностранных студентов (кроме стран Содружества Независимых Государств (далее – СНГ)), обучающихся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9,76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иностранных студентов из СНГ, обучающихся по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1,83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иностранных студентов, завершивших освоение образовательных программ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5,52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иностранных студентов (кроме стран СНГ), завершивших освоение образовательных программ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программ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программ магистратуры, в общей численности студентов (приведенный контингент)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2,09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иностранных студентов из стран СНГ, завершивших освоение образовательных программ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программ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программ магистратуры, в общей численности студентов (приведенный контингент)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3,43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Удельный вес численности студентов, обучающихся по очной форме обучения по образовательным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программам магистратуры, прошедших обучение за рубежом не менее семестра (триместра), в общей численности студентов, обучающихся по очной форме обучения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0,06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Численность студентов иностранных образовательных организаций, прошедших обучение в образовательной организации по образовательным по очной форме обучения по образовательным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бакалавриата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программам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специалитета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программам магистратуры, не менее семестра (триместра) в расчете на 100 студентов, обучающихся по очной форме обучения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иностранных граждан из числа НПР в общей численности НПР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Численность зарубежных ведущих профессоров, преподавателей и исследователей, работающих (работавших) в образовательной организации не менее 1 семестра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человек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3.10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иностранных граждан (кроме стран СНГ) из числа аспирантов (адъюнктов), ординаторов, ассистентов-стажеров образовательной организации в общей численности аспирантов (адъюнктов), ординаторов, ассистентов-стажеров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2,09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3.11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численности иностранных граждан из стран СНГ из числа аспирантов (адъюнктов), ординаторов, ассистентов-стажеров образовательной организации в общей численности аспирантов (адъюнктов), ординаторов, ассистентов-стажеров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2,79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3.12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Объем средств, полученных образовательной организацией от выполнения НИОКР от иностранных граждан и иностранных юридических лиц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0,00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3.13</w:t>
            </w:r>
          </w:p>
        </w:tc>
        <w:tc>
          <w:tcPr>
            <w:tcW w:w="11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390 694,50</w:t>
            </w:r>
          </w:p>
        </w:tc>
      </w:tr>
    </w:tbl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</w:p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F22" w:rsidRDefault="001A7F22" w:rsidP="001A7F22">
      <w:r>
        <w:rPr>
          <w:rStyle w:val="subsection"/>
          <w:rFonts w:ascii="Arial" w:hAnsi="Arial" w:cs="Arial"/>
          <w:color w:val="444444"/>
          <w:sz w:val="41"/>
          <w:szCs w:val="41"/>
          <w:shd w:val="clear" w:color="auto" w:fill="FFFFFF"/>
        </w:rPr>
        <w:lastRenderedPageBreak/>
        <w:t>Финансово-экономическая деятельность</w:t>
      </w:r>
    </w:p>
    <w:p w:rsidR="001A7F22" w:rsidRDefault="001A7F22" w:rsidP="001A7F2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555555"/>
          <w:sz w:val="17"/>
          <w:szCs w:val="17"/>
        </w:rPr>
      </w:pPr>
    </w:p>
    <w:tbl>
      <w:tblPr>
        <w:tblW w:w="14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448"/>
        <w:gridCol w:w="2275"/>
        <w:gridCol w:w="1071"/>
      </w:tblGrid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0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Значение показателя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10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Доходы образовательной организации из средств от приносящей доход деятельности в расчете на одного НПР</w:t>
            </w:r>
          </w:p>
        </w:tc>
        <w:tc>
          <w:tcPr>
            <w:tcW w:w="2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6 554,41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10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Доля доходов из средств от приносящей доход деятельности в доходах по всем видам финансового обеспечения (деятельности) образовательной организации</w:t>
            </w:r>
          </w:p>
        </w:tc>
        <w:tc>
          <w:tcPr>
            <w:tcW w:w="2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67,34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10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Отношение средней заработной платы НПР в образовательной организации (из всех источников) к средней заработной плате по экономике региона</w:t>
            </w:r>
          </w:p>
        </w:tc>
        <w:tc>
          <w:tcPr>
            <w:tcW w:w="2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227,90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10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Доходы образовательной организации из всех источников в расчете на численность студентов (приведенный контингент)</w:t>
            </w:r>
          </w:p>
        </w:tc>
        <w:tc>
          <w:tcPr>
            <w:tcW w:w="2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1 177,45</w:t>
            </w:r>
          </w:p>
        </w:tc>
      </w:tr>
    </w:tbl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</w:p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F22" w:rsidRDefault="001A7F22" w:rsidP="001A7F22">
      <w:r>
        <w:rPr>
          <w:rStyle w:val="subsection"/>
          <w:rFonts w:ascii="Arial" w:hAnsi="Arial" w:cs="Arial"/>
          <w:color w:val="444444"/>
          <w:sz w:val="41"/>
          <w:szCs w:val="41"/>
          <w:shd w:val="clear" w:color="auto" w:fill="FFFFFF"/>
        </w:rPr>
        <w:lastRenderedPageBreak/>
        <w:t>Кадровый состав</w:t>
      </w:r>
    </w:p>
    <w:p w:rsidR="001A7F22" w:rsidRDefault="001A7F22" w:rsidP="001A7F2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555555"/>
          <w:sz w:val="17"/>
          <w:szCs w:val="17"/>
        </w:rPr>
      </w:pPr>
    </w:p>
    <w:tbl>
      <w:tblPr>
        <w:tblW w:w="14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0787"/>
        <w:gridCol w:w="1560"/>
        <w:gridCol w:w="1984"/>
      </w:tblGrid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A7F22" w:rsidRDefault="001A7F22">
            <w:pPr>
              <w:ind w:left="-115" w:firstLine="115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Значение показателя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НПР, имеющих ученую степень кандидата наук, в общей численности НПР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59,89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НПР имеющих ученую степень доктора наук, в общей численности НПР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26,95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Удельный вес НПР, имеющих ученую степень кандидата и доктора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88,39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Число НПР, имеющих ученую степень кандидата и доктора наук, в расчете на 100 студентов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10,44</w:t>
            </w:r>
          </w:p>
        </w:tc>
      </w:tr>
      <w:tr w:rsidR="001A7F22" w:rsidTr="001A7F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6.5</w:t>
            </w:r>
          </w:p>
        </w:tc>
        <w:tc>
          <w:tcPr>
            <w:tcW w:w="107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Доля штатных работников ППС в общей численности ППС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%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1A7F22" w:rsidRDefault="001A7F2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78,55</w:t>
            </w:r>
          </w:p>
        </w:tc>
      </w:tr>
    </w:tbl>
    <w:p w:rsidR="001A7F22" w:rsidRDefault="001A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162" w:rsidRDefault="00B45162">
      <w:pPr>
        <w:rPr>
          <w:rFonts w:ascii="Times New Roman" w:hAnsi="Times New Roman" w:cs="Times New Roman"/>
          <w:sz w:val="28"/>
          <w:szCs w:val="28"/>
        </w:rPr>
      </w:pPr>
    </w:p>
    <w:p w:rsidR="0005336C" w:rsidRPr="0005336C" w:rsidRDefault="0005336C" w:rsidP="0005336C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Вузы отсортированы в следующем порядке: по лиге, индексу J и названию вуза в алфавитном порядке.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По каждому из множеств значений показателей мониторинга вузов (с учетом специфики), проводится ранжирование в порядке убывания значений показателя. На каждом из указанных множеств выделяются медианы и квартили.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Выделяются 4 области (A, B, C, D) и значение E. Для каждой области присваивается вес:</w:t>
      </w:r>
    </w:p>
    <w:p w:rsidR="0005336C" w:rsidRPr="0005336C" w:rsidRDefault="0005336C" w:rsidP="0005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Область A - значение показателя выше или равно значению 1-го квартиля. Вес +5</w:t>
      </w:r>
    </w:p>
    <w:p w:rsidR="0005336C" w:rsidRPr="0005336C" w:rsidRDefault="0005336C" w:rsidP="0005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Область B - значение показателя выше или равно значению медианы, но не входит в область A. Вес +3</w:t>
      </w:r>
    </w:p>
    <w:p w:rsidR="0005336C" w:rsidRPr="0005336C" w:rsidRDefault="0005336C" w:rsidP="0005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Область C - значение показателя ниже медианы, но выше или равно значению 3-го квартиля. Вес +2</w:t>
      </w:r>
    </w:p>
    <w:p w:rsidR="0005336C" w:rsidRPr="0005336C" w:rsidRDefault="0005336C" w:rsidP="0005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Область D - значение показателя ниже медианы и не входит в область С. Вес +1</w:t>
      </w:r>
    </w:p>
    <w:p w:rsidR="0005336C" w:rsidRPr="0005336C" w:rsidRDefault="0005336C" w:rsidP="0005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Значение E - значение показателя равно нулю. Вес 0</w:t>
      </w:r>
    </w:p>
    <w:p w:rsidR="0005336C" w:rsidRPr="0005336C" w:rsidRDefault="0005336C" w:rsidP="0005336C">
      <w:pPr>
        <w:spacing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noProof/>
          <w:color w:val="31708F"/>
          <w:sz w:val="21"/>
          <w:szCs w:val="21"/>
          <w:lang w:eastAsia="ru-RU"/>
        </w:rPr>
        <w:lastRenderedPageBreak/>
        <w:drawing>
          <wp:inline distT="0" distB="0" distL="0" distR="0">
            <wp:extent cx="7677150" cy="4124325"/>
            <wp:effectExtent l="0" t="0" r="0" b="9525"/>
            <wp:docPr id="2" name="Рисунок 2" descr="Рейтинг мониторинга эффективности вузов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 мониторинга эффективности вузов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6C" w:rsidRPr="0005336C" w:rsidRDefault="0005336C" w:rsidP="0005336C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На основе попадания значений показателей в области вычисляется индекс J, как сумма весов принадлежности к областям.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Если значение показателя выше или равно значению медианы, то он обозначается </w:t>
      </w:r>
      <w:proofErr w:type="gramStart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значком  ,</w:t>
      </w:r>
      <w:proofErr w:type="gramEnd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иначе значком 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Всего выделяется 5 лиг:</w:t>
      </w:r>
    </w:p>
    <w:p w:rsidR="0005336C" w:rsidRPr="0005336C" w:rsidRDefault="0005336C" w:rsidP="0005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Премьер-лига - один показатель в области B, остальные в области A (J ≥ 28).</w:t>
      </w:r>
    </w:p>
    <w:p w:rsidR="0005336C" w:rsidRPr="0005336C" w:rsidRDefault="0005336C" w:rsidP="0005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Лига 1: вузы, у которых 20 ≤ J ≤ 27.</w:t>
      </w:r>
    </w:p>
    <w:p w:rsidR="0005336C" w:rsidRPr="0005336C" w:rsidRDefault="0005336C" w:rsidP="0005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Лига 2: вузы, у которых 16 ≤ J ≤ 19.</w:t>
      </w:r>
    </w:p>
    <w:p w:rsidR="0005336C" w:rsidRPr="0005336C" w:rsidRDefault="0005336C" w:rsidP="0005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Лига 3: вузы, у которых 13 ≤ J ≤ 15.</w:t>
      </w:r>
    </w:p>
    <w:p w:rsidR="0005336C" w:rsidRPr="0005336C" w:rsidRDefault="0005336C" w:rsidP="0005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  <w:t>Лига 4: вузы, у которых 0 ≤ J ≤ 12.</w:t>
      </w:r>
    </w:p>
    <w:p w:rsidR="0005336C" w:rsidRPr="0005336C" w:rsidRDefault="0005336C" w:rsidP="0005336C">
      <w:pPr>
        <w:spacing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noProof/>
          <w:color w:val="31708F"/>
          <w:sz w:val="21"/>
          <w:szCs w:val="21"/>
          <w:lang w:eastAsia="ru-RU"/>
        </w:rPr>
        <w:lastRenderedPageBreak/>
        <w:drawing>
          <wp:inline distT="0" distB="0" distL="0" distR="0">
            <wp:extent cx="7686675" cy="4914900"/>
            <wp:effectExtent l="0" t="0" r="9525" b="0"/>
            <wp:docPr id="1" name="Рисунок 1" descr="Распределение л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ределение ли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6C" w:rsidRPr="0005336C" w:rsidRDefault="0005336C" w:rsidP="0005336C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Справочно</w:t>
      </w:r>
      <w:proofErr w:type="spellEnd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: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Медиана представляет собой среднюю точку распределения: половина наблюдений расположена над ней, а другая половина – под ней (медиана чисел 3, 4, 5, 6 и 102 составляет 5).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При наличии четного количества наблюдений медиана представляет собой среднюю точку между двумя средними числами.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Квартили — числовые значения признака, которые делят упорядоченную по возрастанию совокупность на четыре равных части. Второй квартиль есть медиана.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Некоторые из медиан для регионов и ведомств могут отличаться от медиан, указанных на сайте ГИВЦ </w:t>
      </w:r>
      <w:hyperlink r:id="rId7" w:tgtFrame="_blank" w:history="1">
        <w:r w:rsidRPr="0005336C">
          <w:rPr>
            <w:rFonts w:ascii="Helvetica" w:eastAsia="Times New Roman" w:hAnsi="Helvetica" w:cs="Times New Roman"/>
            <w:color w:val="3572B0"/>
            <w:sz w:val="21"/>
            <w:szCs w:val="21"/>
            <w:u w:val="single"/>
            <w:lang w:eastAsia="ru-RU"/>
          </w:rPr>
          <w:t>Мониторинг (ВО)</w:t>
        </w:r>
      </w:hyperlink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, поскольку в случае четного количества значений показателей на сайте ГИВЦ в качестве медианы берется меньшее значение в упорядоченной выборке. </w:t>
      </w:r>
      <w:proofErr w:type="gramStart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Например</w:t>
      </w:r>
      <w:proofErr w:type="gramEnd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для значений 16, 12, 0, 0 используется значение 0. В данном рейтинге при аналогичном примере в качестве медианы используется </w:t>
      </w:r>
      <w:proofErr w:type="spellStart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полусумма</w:t>
      </w:r>
      <w:proofErr w:type="spellEnd"/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чисел, стоящих на средних местах в упорядоченном наборе этих чисел - (12+0)/2=6.</w:t>
      </w:r>
    </w:p>
    <w:p w:rsidR="0005336C" w:rsidRPr="0005336C" w:rsidRDefault="0005336C" w:rsidP="0005336C">
      <w:pPr>
        <w:spacing w:before="75"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Кроме того, стоит учитывать, что расчет показателя “Образовательная деятельность“ зависит от специфики и рассчитывается по 2-м разным формулам. Поэтому для каждой из формул используются свои медианные значения (</w:t>
      </w:r>
      <w:hyperlink r:id="rId8" w:history="1">
        <w:r w:rsidRPr="0005336C">
          <w:rPr>
            <w:rFonts w:ascii="Helvetica" w:eastAsia="Times New Roman" w:hAnsi="Helvetica" w:cs="Times New Roman"/>
            <w:color w:val="3572B0"/>
            <w:sz w:val="21"/>
            <w:szCs w:val="21"/>
            <w:u w:val="single"/>
            <w:lang w:eastAsia="ru-RU"/>
          </w:rPr>
          <w:t>Методика расчета показателей 30.03.2018 № ИК-139/05вн</w:t>
        </w:r>
      </w:hyperlink>
      <w:r w:rsidRPr="0005336C">
        <w:rPr>
          <w:rFonts w:ascii="Helvetica" w:eastAsia="Times New Roman" w:hAnsi="Helvetica" w:cs="Times New Roman"/>
          <w:sz w:val="21"/>
          <w:szCs w:val="21"/>
          <w:lang w:eastAsia="ru-RU"/>
        </w:rPr>
        <w:t>) (на сайте ГИВЦ для 2-х разных формул указана одна медиана). Аналогично для показателя “Научно-исследовательская деятельность“</w:t>
      </w:r>
    </w:p>
    <w:p w:rsidR="0005336C" w:rsidRPr="0005336C" w:rsidRDefault="0005336C" w:rsidP="0005336C">
      <w:pPr>
        <w:spacing w:after="0" w:line="240" w:lineRule="auto"/>
        <w:rPr>
          <w:rFonts w:ascii="Helvetica" w:eastAsia="Times New Roman" w:hAnsi="Helvetica" w:cs="Times New Roman"/>
          <w:color w:val="31708F"/>
          <w:sz w:val="21"/>
          <w:szCs w:val="21"/>
          <w:lang w:eastAsia="ru-RU"/>
        </w:rPr>
      </w:pPr>
      <w:r w:rsidRPr="0005336C">
        <w:rPr>
          <w:rFonts w:ascii="Helvetica" w:eastAsia="Times New Roman" w:hAnsi="Helvetica" w:cs="Times New Roman"/>
          <w:color w:val="31708F"/>
          <w:sz w:val="18"/>
          <w:szCs w:val="18"/>
          <w:lang w:eastAsia="ru-RU"/>
        </w:rPr>
        <w:t>Информация по показателям эффективности вузов за 2022 получена с официального сайта ГИВЦ </w:t>
      </w:r>
      <w:hyperlink r:id="rId9" w:tgtFrame="_blank" w:history="1">
        <w:r w:rsidRPr="0005336C">
          <w:rPr>
            <w:rFonts w:ascii="Helvetica" w:eastAsia="Times New Roman" w:hAnsi="Helvetica" w:cs="Times New Roman"/>
            <w:color w:val="3572B0"/>
            <w:sz w:val="18"/>
            <w:szCs w:val="18"/>
            <w:u w:val="single"/>
            <w:lang w:eastAsia="ru-RU"/>
          </w:rPr>
          <w:t>https://monitoring.miccedu.ru/?m=vpo </w:t>
        </w:r>
      </w:hyperlink>
      <w:r w:rsidRPr="0005336C">
        <w:rPr>
          <w:rFonts w:ascii="Helvetica" w:eastAsia="Times New Roman" w:hAnsi="Helvetica" w:cs="Times New Roman"/>
          <w:color w:val="31708F"/>
          <w:sz w:val="18"/>
          <w:szCs w:val="18"/>
          <w:lang w:eastAsia="ru-RU"/>
        </w:rPr>
        <w:t>по состоянию на 06.09.2022</w:t>
      </w:r>
    </w:p>
    <w:p w:rsidR="00BA106D" w:rsidRPr="0005336C" w:rsidRDefault="00BA106D" w:rsidP="00053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06D" w:rsidRPr="0005336C" w:rsidSect="001A7F22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1EA"/>
    <w:multiLevelType w:val="multilevel"/>
    <w:tmpl w:val="6C9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86C58"/>
    <w:multiLevelType w:val="multilevel"/>
    <w:tmpl w:val="6DC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87FD7"/>
    <w:multiLevelType w:val="hybridMultilevel"/>
    <w:tmpl w:val="632645A8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2117"/>
    <w:multiLevelType w:val="hybridMultilevel"/>
    <w:tmpl w:val="3842C7E0"/>
    <w:lvl w:ilvl="0" w:tplc="F32A42E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8077C6B"/>
    <w:multiLevelType w:val="hybridMultilevel"/>
    <w:tmpl w:val="B9C43330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F5D"/>
    <w:multiLevelType w:val="hybridMultilevel"/>
    <w:tmpl w:val="BA6A1BD4"/>
    <w:lvl w:ilvl="0" w:tplc="F32A42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C"/>
    <w:rsid w:val="00002355"/>
    <w:rsid w:val="0005336C"/>
    <w:rsid w:val="000E5977"/>
    <w:rsid w:val="001A7F22"/>
    <w:rsid w:val="003D6E49"/>
    <w:rsid w:val="004E5837"/>
    <w:rsid w:val="007045E4"/>
    <w:rsid w:val="00853E43"/>
    <w:rsid w:val="009C05E0"/>
    <w:rsid w:val="00A8477F"/>
    <w:rsid w:val="00B45162"/>
    <w:rsid w:val="00BA106D"/>
    <w:rsid w:val="00F33BE5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A621"/>
  <w15:chartTrackingRefBased/>
  <w15:docId w15:val="{F311EE4F-111A-4544-8839-392DA1F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36C"/>
    <w:rPr>
      <w:color w:val="0000FF"/>
      <w:u w:val="single"/>
    </w:rPr>
  </w:style>
  <w:style w:type="character" w:customStyle="1" w:styleId="val">
    <w:name w:val="val"/>
    <w:basedOn w:val="a0"/>
    <w:rsid w:val="00A8477F"/>
  </w:style>
  <w:style w:type="paragraph" w:styleId="a5">
    <w:name w:val="List Paragraph"/>
    <w:basedOn w:val="a"/>
    <w:uiPriority w:val="34"/>
    <w:qFormat/>
    <w:rsid w:val="00FA5A28"/>
    <w:pPr>
      <w:ind w:left="720"/>
      <w:contextualSpacing/>
    </w:pPr>
  </w:style>
  <w:style w:type="character" w:customStyle="1" w:styleId="subsection">
    <w:name w:val="subsection"/>
    <w:basedOn w:val="a0"/>
    <w:rsid w:val="001A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587">
          <w:marLeft w:val="90"/>
          <w:marRight w:val="0"/>
          <w:marTop w:val="60"/>
          <w:marBottom w:val="60"/>
          <w:divBdr>
            <w:top w:val="none" w:sz="0" w:space="0" w:color="auto"/>
            <w:left w:val="single" w:sz="48" w:space="5" w:color="8888BB"/>
            <w:bottom w:val="none" w:sz="0" w:space="0" w:color="auto"/>
            <w:right w:val="none" w:sz="0" w:space="0" w:color="auto"/>
          </w:divBdr>
        </w:div>
        <w:div w:id="1912543074">
          <w:marLeft w:val="90"/>
          <w:marRight w:val="0"/>
          <w:marTop w:val="60"/>
          <w:marBottom w:val="60"/>
          <w:divBdr>
            <w:top w:val="none" w:sz="0" w:space="0" w:color="auto"/>
            <w:left w:val="single" w:sz="48" w:space="5" w:color="CC88AA"/>
            <w:bottom w:val="none" w:sz="0" w:space="0" w:color="auto"/>
            <w:right w:val="none" w:sz="0" w:space="0" w:color="auto"/>
          </w:divBdr>
        </w:div>
        <w:div w:id="127019132">
          <w:marLeft w:val="90"/>
          <w:marRight w:val="0"/>
          <w:marTop w:val="60"/>
          <w:marBottom w:val="60"/>
          <w:divBdr>
            <w:top w:val="none" w:sz="0" w:space="0" w:color="auto"/>
            <w:left w:val="single" w:sz="48" w:space="5" w:color="99AA88"/>
            <w:bottom w:val="none" w:sz="0" w:space="0" w:color="auto"/>
            <w:right w:val="none" w:sz="0" w:space="0" w:color="auto"/>
          </w:divBdr>
        </w:div>
        <w:div w:id="619577962">
          <w:marLeft w:val="90"/>
          <w:marRight w:val="0"/>
          <w:marTop w:val="60"/>
          <w:marBottom w:val="60"/>
          <w:divBdr>
            <w:top w:val="none" w:sz="0" w:space="0" w:color="auto"/>
            <w:left w:val="single" w:sz="48" w:space="5" w:color="9988AA"/>
            <w:bottom w:val="none" w:sz="0" w:space="0" w:color="auto"/>
            <w:right w:val="none" w:sz="0" w:space="0" w:color="auto"/>
          </w:divBdr>
        </w:div>
      </w:divsChild>
    </w:div>
    <w:div w:id="1429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-nica.ru/data/mon_vpo/ik_139_05vn_ot_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itoring.miccedu.ru/?m=v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itoring.miccedu.ru/?m=v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2022-09-14T12:02:00Z</dcterms:created>
  <dcterms:modified xsi:type="dcterms:W3CDTF">2022-09-14T13:05:00Z</dcterms:modified>
</cp:coreProperties>
</file>